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i w:val="0"/>
          <w:sz w:val="22"/>
        </w:rPr>
      </w:pPr>
    </w:p>
    <w:p>
      <w:pPr>
        <w:pStyle w:val="Heading1"/>
        <w:spacing w:line="341" w:lineRule="exact" w:before="45"/>
      </w:pPr>
      <w:r>
        <w:rPr/>
        <w:drawing>
          <wp:anchor distT="0" distB="0" distL="0" distR="0" allowOverlap="1" layoutInCell="1" locked="0" behindDoc="0" simplePos="0" relativeHeight="251658240">
            <wp:simplePos x="0" y="0"/>
            <wp:positionH relativeFrom="page">
              <wp:posOffset>1286094</wp:posOffset>
            </wp:positionH>
            <wp:positionV relativeFrom="paragraph">
              <wp:posOffset>-171739</wp:posOffset>
            </wp:positionV>
            <wp:extent cx="734260" cy="99398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34260" cy="993987"/>
                    </a:xfrm>
                    <a:prstGeom prst="rect">
                      <a:avLst/>
                    </a:prstGeom>
                  </pic:spPr>
                </pic:pic>
              </a:graphicData>
            </a:graphic>
          </wp:anchor>
        </w:drawing>
      </w:r>
      <w:r>
        <w:rPr/>
        <w:t>MUNICIPALIDAD DE POCOCI</w:t>
      </w:r>
    </w:p>
    <w:p>
      <w:pPr>
        <w:spacing w:before="0"/>
        <w:ind w:left="1918" w:right="1916" w:firstLine="0"/>
        <w:jc w:val="center"/>
        <w:rPr>
          <w:rFonts w:ascii="Calibri" w:hAnsi="Calibri"/>
          <w:b/>
          <w:sz w:val="28"/>
        </w:rPr>
      </w:pPr>
      <w:r>
        <w:rPr>
          <w:rFonts w:ascii="Calibri" w:hAnsi="Calibri"/>
          <w:b/>
          <w:sz w:val="28"/>
        </w:rPr>
        <w:t>Dpto. de Planificación y Control Constructivo Tel: 2713-6560 - Ext. 132</w:t>
      </w:r>
    </w:p>
    <w:p>
      <w:pPr>
        <w:pStyle w:val="BodyText"/>
        <w:rPr>
          <w:rFonts w:ascii="Calibri"/>
          <w:b/>
          <w:i w:val="0"/>
          <w:sz w:val="20"/>
        </w:rPr>
      </w:pPr>
    </w:p>
    <w:p>
      <w:pPr>
        <w:pStyle w:val="BodyText"/>
        <w:rPr>
          <w:rFonts w:ascii="Calibri"/>
          <w:b/>
          <w:i w:val="0"/>
          <w:sz w:val="20"/>
        </w:rPr>
      </w:pPr>
    </w:p>
    <w:p>
      <w:pPr>
        <w:pStyle w:val="BodyText"/>
        <w:rPr>
          <w:rFonts w:ascii="Calibri"/>
          <w:b/>
          <w:i w:val="0"/>
          <w:sz w:val="20"/>
        </w:rPr>
      </w:pPr>
    </w:p>
    <w:p>
      <w:pPr>
        <w:pStyle w:val="BodyText"/>
        <w:rPr>
          <w:rFonts w:ascii="Calibri"/>
          <w:b/>
          <w:i w:val="0"/>
          <w:sz w:val="20"/>
        </w:rPr>
      </w:pPr>
    </w:p>
    <w:p>
      <w:pPr>
        <w:pStyle w:val="BodyText"/>
        <w:spacing w:before="3"/>
        <w:rPr>
          <w:rFonts w:ascii="Calibri"/>
          <w:b/>
          <w:i w:val="0"/>
          <w:sz w:val="16"/>
        </w:rPr>
      </w:pPr>
    </w:p>
    <w:p>
      <w:pPr>
        <w:spacing w:before="93"/>
        <w:ind w:left="102" w:right="0" w:firstLine="0"/>
        <w:jc w:val="left"/>
        <w:rPr>
          <w:b/>
          <w:sz w:val="24"/>
        </w:rPr>
      </w:pPr>
      <w:r>
        <w:rPr>
          <w:b/>
          <w:color w:val="333333"/>
          <w:sz w:val="24"/>
          <w:u w:val="thick" w:color="333333"/>
        </w:rPr>
        <w:t>Requisitos para Aprobación de Desfogue Pluvial Municipalidad de Pococí</w:t>
      </w:r>
    </w:p>
    <w:p>
      <w:pPr>
        <w:pStyle w:val="BodyText"/>
        <w:spacing w:before="3"/>
        <w:rPr>
          <w:b/>
          <w:i w:val="0"/>
          <w:sz w:val="23"/>
        </w:rPr>
      </w:pPr>
    </w:p>
    <w:p>
      <w:pPr>
        <w:pStyle w:val="Heading2"/>
        <w:numPr>
          <w:ilvl w:val="0"/>
          <w:numId w:val="1"/>
        </w:numPr>
        <w:tabs>
          <w:tab w:pos="386" w:val="left" w:leader="none"/>
        </w:tabs>
        <w:spacing w:line="276" w:lineRule="auto" w:before="92" w:after="0"/>
        <w:ind w:left="102" w:right="98" w:firstLine="0"/>
        <w:jc w:val="both"/>
      </w:pPr>
      <w:r>
        <w:rPr>
          <w:color w:val="333333"/>
        </w:rPr>
        <w:t>Memoria de cálculo del proyecto, indicando el caudal que se va a desfogar al sistema existente, tanto antes como después de la construcción, indicando el diámetro necesario para ese caudal, firmado por un profesional. Este mismo no debe exceder el 10% de la capacidad del sistema</w:t>
      </w:r>
      <w:r>
        <w:rPr>
          <w:color w:val="333333"/>
          <w:spacing w:val="-13"/>
        </w:rPr>
        <w:t> </w:t>
      </w:r>
      <w:r>
        <w:rPr>
          <w:color w:val="333333"/>
        </w:rPr>
        <w:t>receptor.</w:t>
      </w:r>
    </w:p>
    <w:p>
      <w:pPr>
        <w:pStyle w:val="BodyText"/>
        <w:spacing w:before="7"/>
        <w:rPr>
          <w:i w:val="0"/>
          <w:sz w:val="27"/>
        </w:rPr>
      </w:pPr>
    </w:p>
    <w:p>
      <w:pPr>
        <w:pStyle w:val="ListParagraph"/>
        <w:numPr>
          <w:ilvl w:val="0"/>
          <w:numId w:val="1"/>
        </w:numPr>
        <w:tabs>
          <w:tab w:pos="386" w:val="left" w:leader="none"/>
        </w:tabs>
        <w:spacing w:line="276" w:lineRule="auto" w:before="0" w:after="0"/>
        <w:ind w:left="102" w:right="102" w:firstLine="0"/>
        <w:jc w:val="both"/>
        <w:rPr>
          <w:sz w:val="24"/>
        </w:rPr>
      </w:pPr>
      <w:r>
        <w:rPr>
          <w:color w:val="333333"/>
          <w:sz w:val="24"/>
        </w:rPr>
        <w:t>Descripción total del proyecto, tomando en cuenta detalles tales como ubicación, relieve, cuenca cercana, punto de desfogue y demás detalles relacionados.</w:t>
      </w:r>
    </w:p>
    <w:p>
      <w:pPr>
        <w:pStyle w:val="BodyText"/>
        <w:spacing w:before="7"/>
        <w:rPr>
          <w:i w:val="0"/>
          <w:sz w:val="27"/>
        </w:rPr>
      </w:pPr>
    </w:p>
    <w:p>
      <w:pPr>
        <w:pStyle w:val="ListParagraph"/>
        <w:numPr>
          <w:ilvl w:val="0"/>
          <w:numId w:val="1"/>
        </w:numPr>
        <w:tabs>
          <w:tab w:pos="386" w:val="left" w:leader="none"/>
        </w:tabs>
        <w:spacing w:line="240" w:lineRule="auto" w:before="0" w:after="0"/>
        <w:ind w:left="385" w:right="0" w:hanging="284"/>
        <w:jc w:val="both"/>
        <w:rPr>
          <w:sz w:val="24"/>
        </w:rPr>
      </w:pPr>
      <w:r>
        <w:rPr>
          <w:color w:val="333333"/>
          <w:sz w:val="24"/>
        </w:rPr>
        <w:t>Plano de catastro de la</w:t>
      </w:r>
      <w:r>
        <w:rPr>
          <w:color w:val="333333"/>
          <w:spacing w:val="-5"/>
          <w:sz w:val="24"/>
        </w:rPr>
        <w:t> </w:t>
      </w:r>
      <w:r>
        <w:rPr>
          <w:color w:val="333333"/>
          <w:sz w:val="24"/>
        </w:rPr>
        <w:t>propiedad.</w:t>
      </w:r>
    </w:p>
    <w:p>
      <w:pPr>
        <w:pStyle w:val="BodyText"/>
        <w:spacing w:before="1"/>
        <w:rPr>
          <w:i w:val="0"/>
          <w:sz w:val="31"/>
        </w:rPr>
      </w:pPr>
    </w:p>
    <w:p>
      <w:pPr>
        <w:pStyle w:val="ListParagraph"/>
        <w:numPr>
          <w:ilvl w:val="0"/>
          <w:numId w:val="1"/>
        </w:numPr>
        <w:tabs>
          <w:tab w:pos="386" w:val="left" w:leader="none"/>
        </w:tabs>
        <w:spacing w:line="240" w:lineRule="auto" w:before="1" w:after="0"/>
        <w:ind w:left="385" w:right="0" w:hanging="284"/>
        <w:jc w:val="both"/>
        <w:rPr>
          <w:sz w:val="24"/>
        </w:rPr>
      </w:pPr>
      <w:r>
        <w:rPr>
          <w:color w:val="333333"/>
          <w:sz w:val="24"/>
        </w:rPr>
        <w:t>Copia de cédula de identidad del solicitante o su</w:t>
      </w:r>
      <w:r>
        <w:rPr>
          <w:color w:val="333333"/>
          <w:spacing w:val="-9"/>
          <w:sz w:val="24"/>
        </w:rPr>
        <w:t> </w:t>
      </w:r>
      <w:r>
        <w:rPr>
          <w:color w:val="333333"/>
          <w:sz w:val="24"/>
        </w:rPr>
        <w:t>representante.</w:t>
      </w:r>
    </w:p>
    <w:p>
      <w:pPr>
        <w:pStyle w:val="BodyText"/>
        <w:spacing w:before="3"/>
        <w:rPr>
          <w:i w:val="0"/>
          <w:sz w:val="31"/>
        </w:rPr>
      </w:pPr>
    </w:p>
    <w:p>
      <w:pPr>
        <w:pStyle w:val="ListParagraph"/>
        <w:numPr>
          <w:ilvl w:val="0"/>
          <w:numId w:val="1"/>
        </w:numPr>
        <w:tabs>
          <w:tab w:pos="386" w:val="left" w:leader="none"/>
        </w:tabs>
        <w:spacing w:line="276" w:lineRule="auto" w:before="0" w:after="0"/>
        <w:ind w:left="102" w:right="106" w:firstLine="0"/>
        <w:jc w:val="both"/>
        <w:rPr>
          <w:sz w:val="24"/>
        </w:rPr>
      </w:pPr>
      <w:r>
        <w:rPr>
          <w:color w:val="333333"/>
          <w:sz w:val="24"/>
        </w:rPr>
        <w:t>Estudio Registral de la propiedad (Original y copia con no más de 3 meses de emitido).</w:t>
      </w:r>
    </w:p>
    <w:p>
      <w:pPr>
        <w:pStyle w:val="BodyText"/>
        <w:spacing w:before="6"/>
        <w:rPr>
          <w:i w:val="0"/>
          <w:sz w:val="27"/>
        </w:rPr>
      </w:pPr>
    </w:p>
    <w:p>
      <w:pPr>
        <w:pStyle w:val="ListParagraph"/>
        <w:numPr>
          <w:ilvl w:val="0"/>
          <w:numId w:val="1"/>
        </w:numPr>
        <w:tabs>
          <w:tab w:pos="386" w:val="left" w:leader="none"/>
        </w:tabs>
        <w:spacing w:line="240" w:lineRule="auto" w:before="0" w:after="0"/>
        <w:ind w:left="385" w:right="0" w:hanging="284"/>
        <w:jc w:val="both"/>
        <w:rPr>
          <w:sz w:val="24"/>
        </w:rPr>
      </w:pPr>
      <w:r>
        <w:rPr>
          <w:color w:val="333333"/>
          <w:sz w:val="24"/>
        </w:rPr>
        <w:t>Copia TAMAÑO ORIGINAL del plano catastrado, VISADO por la</w:t>
      </w:r>
      <w:r>
        <w:rPr>
          <w:color w:val="333333"/>
          <w:spacing w:val="-16"/>
          <w:sz w:val="24"/>
        </w:rPr>
        <w:t> </w:t>
      </w:r>
      <w:r>
        <w:rPr>
          <w:color w:val="333333"/>
          <w:sz w:val="24"/>
        </w:rPr>
        <w:t>municipalidad.</w:t>
      </w:r>
    </w:p>
    <w:p>
      <w:pPr>
        <w:pStyle w:val="BodyText"/>
        <w:spacing w:before="3"/>
        <w:rPr>
          <w:i w:val="0"/>
          <w:sz w:val="31"/>
        </w:rPr>
      </w:pPr>
    </w:p>
    <w:p>
      <w:pPr>
        <w:pStyle w:val="ListParagraph"/>
        <w:numPr>
          <w:ilvl w:val="0"/>
          <w:numId w:val="1"/>
        </w:numPr>
        <w:tabs>
          <w:tab w:pos="386" w:val="left" w:leader="none"/>
        </w:tabs>
        <w:spacing w:line="276" w:lineRule="auto" w:before="0" w:after="0"/>
        <w:ind w:left="102" w:right="104" w:firstLine="0"/>
        <w:jc w:val="both"/>
        <w:rPr>
          <w:sz w:val="24"/>
        </w:rPr>
      </w:pPr>
      <w:r>
        <w:rPr>
          <w:color w:val="333333"/>
          <w:sz w:val="24"/>
        </w:rPr>
        <w:t>Presentar lo establecido en el artículo III.3.10 del Reglamento para el Control Nacional de Fraccionamiento y Urbanizaciones que</w:t>
      </w:r>
      <w:r>
        <w:rPr>
          <w:color w:val="333333"/>
          <w:spacing w:val="-2"/>
          <w:sz w:val="24"/>
        </w:rPr>
        <w:t> </w:t>
      </w:r>
      <w:r>
        <w:rPr>
          <w:color w:val="333333"/>
          <w:sz w:val="24"/>
        </w:rPr>
        <w:t>indica:</w:t>
      </w:r>
    </w:p>
    <w:p>
      <w:pPr>
        <w:pStyle w:val="BodyText"/>
        <w:spacing w:line="276" w:lineRule="auto"/>
        <w:ind w:left="102" w:right="100"/>
        <w:jc w:val="both"/>
      </w:pPr>
      <w:r>
        <w:rPr>
          <w:i/>
          <w:color w:val="333333"/>
        </w:rPr>
        <w:t>“Todo proyecto debe contar con un estudio de la cuenca dentro de la cual se </w:t>
      </w:r>
      <w:r>
        <w:rPr>
          <w:color w:val="333333"/>
        </w:rPr>
        <w:t>encuentra comprendido a efecto de tomar en cuenta el desarrollo de otros proyectos tanto aguas arriba como abajo. En el caso de tener el terreno pendientes fuertes (mayores al 10%) y preverse su terraceo deberá procurarse la salida adecuada de las aguas pluviales de los lotes, prevenirse la erosión de taludes y el empozamiento de pequeños valles que pueda tener el terreno. La entrega de aguas pluviales a un colector (quebrada o río) debe tomar en cuenta el nivel máximo probable de las avenidas de este último, a fin de no obstaculizar la incorporación de las aguas. Esta entrega no debe ser hecha en forma perpendicular al curso del colector, sino que en un ángulo no mayor de 45°. En lo que se refiere al diseño de la red de alcantarillado pluvial y obras accesorias, deberá ajustarse a las normas del Instituto de Acueductos y</w:t>
      </w:r>
      <w:r>
        <w:rPr>
          <w:color w:val="333333"/>
          <w:spacing w:val="-21"/>
        </w:rPr>
        <w:t> </w:t>
      </w:r>
      <w:r>
        <w:rPr>
          <w:color w:val="333333"/>
        </w:rPr>
        <w:t>Alcantarillados”.</w:t>
      </w:r>
    </w:p>
    <w:sectPr>
      <w:type w:val="continuous"/>
      <w:pgSz w:w="12240" w:h="15840"/>
      <w:pgMar w:top="400" w:bottom="280" w:left="160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102" w:hanging="284"/>
        <w:jc w:val="left"/>
      </w:pPr>
      <w:rPr>
        <w:rFonts w:hint="default" w:ascii="Arial" w:hAnsi="Arial" w:eastAsia="Arial" w:cs="Arial"/>
        <w:color w:val="333333"/>
        <w:w w:val="99"/>
        <w:sz w:val="24"/>
        <w:szCs w:val="24"/>
        <w:lang w:val="es-ES" w:eastAsia="es-ES" w:bidi="es-ES"/>
      </w:rPr>
    </w:lvl>
    <w:lvl w:ilvl="1">
      <w:start w:val="0"/>
      <w:numFmt w:val="bullet"/>
      <w:lvlText w:val="•"/>
      <w:lvlJc w:val="left"/>
      <w:pPr>
        <w:ind w:left="994" w:hanging="284"/>
      </w:pPr>
      <w:rPr>
        <w:rFonts w:hint="default"/>
        <w:lang w:val="es-ES" w:eastAsia="es-ES" w:bidi="es-ES"/>
      </w:rPr>
    </w:lvl>
    <w:lvl w:ilvl="2">
      <w:start w:val="0"/>
      <w:numFmt w:val="bullet"/>
      <w:lvlText w:val="•"/>
      <w:lvlJc w:val="left"/>
      <w:pPr>
        <w:ind w:left="1888" w:hanging="284"/>
      </w:pPr>
      <w:rPr>
        <w:rFonts w:hint="default"/>
        <w:lang w:val="es-ES" w:eastAsia="es-ES" w:bidi="es-ES"/>
      </w:rPr>
    </w:lvl>
    <w:lvl w:ilvl="3">
      <w:start w:val="0"/>
      <w:numFmt w:val="bullet"/>
      <w:lvlText w:val="•"/>
      <w:lvlJc w:val="left"/>
      <w:pPr>
        <w:ind w:left="2782" w:hanging="284"/>
      </w:pPr>
      <w:rPr>
        <w:rFonts w:hint="default"/>
        <w:lang w:val="es-ES" w:eastAsia="es-ES" w:bidi="es-ES"/>
      </w:rPr>
    </w:lvl>
    <w:lvl w:ilvl="4">
      <w:start w:val="0"/>
      <w:numFmt w:val="bullet"/>
      <w:lvlText w:val="•"/>
      <w:lvlJc w:val="left"/>
      <w:pPr>
        <w:ind w:left="3676" w:hanging="284"/>
      </w:pPr>
      <w:rPr>
        <w:rFonts w:hint="default"/>
        <w:lang w:val="es-ES" w:eastAsia="es-ES" w:bidi="es-ES"/>
      </w:rPr>
    </w:lvl>
    <w:lvl w:ilvl="5">
      <w:start w:val="0"/>
      <w:numFmt w:val="bullet"/>
      <w:lvlText w:val="•"/>
      <w:lvlJc w:val="left"/>
      <w:pPr>
        <w:ind w:left="4570" w:hanging="284"/>
      </w:pPr>
      <w:rPr>
        <w:rFonts w:hint="default"/>
        <w:lang w:val="es-ES" w:eastAsia="es-ES" w:bidi="es-ES"/>
      </w:rPr>
    </w:lvl>
    <w:lvl w:ilvl="6">
      <w:start w:val="0"/>
      <w:numFmt w:val="bullet"/>
      <w:lvlText w:val="•"/>
      <w:lvlJc w:val="left"/>
      <w:pPr>
        <w:ind w:left="5464" w:hanging="284"/>
      </w:pPr>
      <w:rPr>
        <w:rFonts w:hint="default"/>
        <w:lang w:val="es-ES" w:eastAsia="es-ES" w:bidi="es-ES"/>
      </w:rPr>
    </w:lvl>
    <w:lvl w:ilvl="7">
      <w:start w:val="0"/>
      <w:numFmt w:val="bullet"/>
      <w:lvlText w:val="•"/>
      <w:lvlJc w:val="left"/>
      <w:pPr>
        <w:ind w:left="6358" w:hanging="284"/>
      </w:pPr>
      <w:rPr>
        <w:rFonts w:hint="default"/>
        <w:lang w:val="es-ES" w:eastAsia="es-ES" w:bidi="es-ES"/>
      </w:rPr>
    </w:lvl>
    <w:lvl w:ilvl="8">
      <w:start w:val="0"/>
      <w:numFmt w:val="bullet"/>
      <w:lvlText w:val="•"/>
      <w:lvlJc w:val="left"/>
      <w:pPr>
        <w:ind w:left="7252" w:hanging="284"/>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i/>
      <w:sz w:val="24"/>
      <w:szCs w:val="24"/>
      <w:lang w:val="es-ES" w:eastAsia="es-ES" w:bidi="es-ES"/>
    </w:rPr>
  </w:style>
  <w:style w:styleId="Heading1" w:type="paragraph">
    <w:name w:val="Heading 1"/>
    <w:basedOn w:val="Normal"/>
    <w:uiPriority w:val="1"/>
    <w:qFormat/>
    <w:pPr>
      <w:ind w:left="1918" w:right="1916"/>
      <w:jc w:val="center"/>
      <w:outlineLvl w:val="1"/>
    </w:pPr>
    <w:rPr>
      <w:rFonts w:ascii="Calibri" w:hAnsi="Calibri" w:eastAsia="Calibri" w:cs="Calibri"/>
      <w:b/>
      <w:bCs/>
      <w:sz w:val="28"/>
      <w:szCs w:val="28"/>
      <w:lang w:val="es-ES" w:eastAsia="es-ES" w:bidi="es-ES"/>
    </w:rPr>
  </w:style>
  <w:style w:styleId="Heading2" w:type="paragraph">
    <w:name w:val="Heading 2"/>
    <w:basedOn w:val="Normal"/>
    <w:uiPriority w:val="1"/>
    <w:qFormat/>
    <w:pPr>
      <w:ind w:left="102"/>
      <w:jc w:val="both"/>
      <w:outlineLvl w:val="2"/>
    </w:pPr>
    <w:rPr>
      <w:rFonts w:ascii="Arial" w:hAnsi="Arial" w:eastAsia="Arial" w:cs="Arial"/>
      <w:sz w:val="24"/>
      <w:szCs w:val="24"/>
      <w:lang w:val="es-ES" w:eastAsia="es-ES" w:bidi="es-ES"/>
    </w:rPr>
  </w:style>
  <w:style w:styleId="ListParagraph" w:type="paragraph">
    <w:name w:val="List Paragraph"/>
    <w:basedOn w:val="Normal"/>
    <w:uiPriority w:val="1"/>
    <w:qFormat/>
    <w:pPr>
      <w:ind w:left="102"/>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dcterms:created xsi:type="dcterms:W3CDTF">2020-05-13T20:06:09Z</dcterms:created>
  <dcterms:modified xsi:type="dcterms:W3CDTF">2020-05-13T20:06:09Z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2013</vt:lpwstr>
  </property>
  <property fmtid="{D5CDD505-2E9C-101B-9397-08002B2CF9AE}" pid="4" name="LastSaved">
    <vt:filetime>2020-05-13T00:00:00Z</vt:filetime>
  </property>
</Properties>
</file>